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6D95CA-CCEF-4F7D-8E7A-135D78A4D54B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